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AF" w:rsidRPr="00557387" w:rsidRDefault="003E57AF" w:rsidP="00A510DC">
      <w:pPr>
        <w:pStyle w:val="3"/>
      </w:pPr>
      <w:bookmarkStart w:id="0" w:name="_Toc315788162"/>
      <w:r w:rsidRPr="00557387">
        <w:t>Преддипломная практика</w:t>
      </w:r>
      <w:bookmarkEnd w:id="0"/>
    </w:p>
    <w:p w:rsidR="003E57AF" w:rsidRPr="0018291A" w:rsidRDefault="003E57AF" w:rsidP="00A510DC">
      <w:pPr>
        <w:jc w:val="center"/>
        <w:rPr>
          <w:sz w:val="16"/>
          <w:szCs w:val="16"/>
        </w:rPr>
      </w:pPr>
      <w:r w:rsidRPr="00437099">
        <w:rPr>
          <w:sz w:val="22"/>
          <w:szCs w:val="22"/>
        </w:rPr>
        <w:t xml:space="preserve"> </w:t>
      </w: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18291A">
        <w:rPr>
          <w:sz w:val="22"/>
          <w:szCs w:val="22"/>
        </w:rPr>
        <w:t>(6 недель, 10 семестр</w:t>
      </w:r>
      <w:r w:rsidRPr="00557387">
        <w:rPr>
          <w:sz w:val="22"/>
          <w:szCs w:val="22"/>
        </w:rPr>
        <w:t>)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Производственно-преддипломная практика является важнейшей частью подготовки высококвалифицированных специалистов и проводится на предприятиях, в учреждениях и организациях различных форм собственности согласно учебным планом.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keepNext/>
        <w:jc w:val="center"/>
        <w:outlineLvl w:val="3"/>
        <w:rPr>
          <w:sz w:val="22"/>
          <w:szCs w:val="22"/>
        </w:rPr>
      </w:pPr>
      <w:r w:rsidRPr="00437099">
        <w:rPr>
          <w:sz w:val="22"/>
          <w:szCs w:val="22"/>
        </w:rPr>
        <w:t>ЦЕЛИ И ЗАДАЧИ ПРАКТИКИ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Целью проведения преддипломной практики является обобщение знаний и навыков работы студентов по специальности, а также сбор материалов для выполнения выпускной квалификационной работы.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Задачами практики являются:</w:t>
      </w:r>
    </w:p>
    <w:p w:rsidR="003E57AF" w:rsidRPr="00437099" w:rsidRDefault="003E57AF" w:rsidP="00A510DC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сбор эмпирического материала для подготовки и написания дипломной работы;</w:t>
      </w:r>
    </w:p>
    <w:p w:rsidR="003E57AF" w:rsidRPr="00437099" w:rsidRDefault="003E57AF" w:rsidP="00A510DC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выявление конкретных проблем, недостатков в деятельности организации, учреждения или предприятия, разработка вариантов их решения и определение перспектив развития;</w:t>
      </w:r>
    </w:p>
    <w:p w:rsidR="003E57AF" w:rsidRPr="00437099" w:rsidRDefault="003E57AF" w:rsidP="00A510DC">
      <w:pPr>
        <w:numPr>
          <w:ilvl w:val="0"/>
          <w:numId w:val="1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закрепление полученных в процессе обучения теоретических знаний и совершенствование навыков практической профессиональной деятельности.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jc w:val="center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Место практики, порядок ее прохождения</w:t>
      </w:r>
    </w:p>
    <w:p w:rsidR="003E57AF" w:rsidRPr="00437099" w:rsidRDefault="003E57AF" w:rsidP="00A510DC">
      <w:pPr>
        <w:jc w:val="center"/>
        <w:rPr>
          <w:caps/>
          <w:sz w:val="22"/>
          <w:szCs w:val="22"/>
        </w:rPr>
      </w:pPr>
      <w:r w:rsidRPr="00437099">
        <w:rPr>
          <w:caps/>
          <w:sz w:val="22"/>
          <w:szCs w:val="22"/>
        </w:rPr>
        <w:t>и распределение рабочего времени</w:t>
      </w:r>
    </w:p>
    <w:p w:rsidR="003E57AF" w:rsidRPr="00437099" w:rsidRDefault="003E57AF" w:rsidP="00A510DC">
      <w:pPr>
        <w:jc w:val="center"/>
        <w:rPr>
          <w:caps/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При прохождении учебной практики в районных отделах внутренних дел распределение рабочего времени (в днях) следующее: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9"/>
        <w:gridCol w:w="3317"/>
        <w:gridCol w:w="2123"/>
        <w:gridCol w:w="3372"/>
      </w:tblGrid>
      <w:tr w:rsidR="003E57AF" w:rsidRPr="00437099">
        <w:trPr>
          <w:trHeight w:val="208"/>
        </w:trPr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3709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437099">
              <w:rPr>
                <w:sz w:val="22"/>
                <w:szCs w:val="22"/>
              </w:rPr>
              <w:t>/</w:t>
            </w:r>
            <w:proofErr w:type="spellStart"/>
            <w:r w:rsidRPr="0043709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55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Наименование тем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Продолжительность в днях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Место прохождения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1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Планирование совместно с руководителем практики порядка и сроков выполнения индивидуального задания. 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B732D0">
            <w:pPr>
              <w:jc w:val="center"/>
              <w:rPr>
                <w:sz w:val="22"/>
                <w:szCs w:val="22"/>
              </w:rPr>
            </w:pPr>
            <w:r w:rsidRPr="00B732D0">
              <w:rPr>
                <w:sz w:val="22"/>
                <w:szCs w:val="22"/>
              </w:rPr>
              <w:t xml:space="preserve">Кафедра </w:t>
            </w:r>
            <w:r w:rsidR="00B732D0" w:rsidRPr="00B732D0">
              <w:rPr>
                <w:sz w:val="22"/>
                <w:szCs w:val="22"/>
              </w:rPr>
              <w:t xml:space="preserve"> Административного права и исполнительного производства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Составление индивидуального плана работы. 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2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B732D0">
              <w:rPr>
                <w:sz w:val="22"/>
                <w:szCs w:val="22"/>
              </w:rPr>
              <w:t xml:space="preserve">Кафедра </w:t>
            </w:r>
            <w:r w:rsidR="00B732D0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3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proofErr w:type="gramStart"/>
            <w:r w:rsidRPr="00437099">
              <w:rPr>
                <w:sz w:val="22"/>
                <w:szCs w:val="22"/>
              </w:rPr>
              <w:t>Изучение нормативно-правовых актов, регулирующих деятельность учреждения, организации, предприятия (федеральных, региональных, локальных).</w:t>
            </w:r>
            <w:proofErr w:type="gramEnd"/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6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Подразделения органа внутренних дел,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Изучение правовых основ взаимодействия организации, учреждения с государственными и муниципальными органами власти, общественными организациями, коммерческими организациями, физическими лицами, и т.д. 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6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Подразделения органа внутренних дел,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5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Участие в процессуальных действиях. Составление локальных нормативных, процессуальных и иных актов. Сбор материалов для дипломной работы.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8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Отделы следствия и дознания, судебные органы, прокуратура, адвокатские консультации, юридические отделы организаций и учреждений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Создание методических рекомендаций по улучшению </w:t>
            </w:r>
            <w:r w:rsidRPr="00437099">
              <w:rPr>
                <w:sz w:val="22"/>
                <w:szCs w:val="22"/>
              </w:rPr>
              <w:lastRenderedPageBreak/>
              <w:t>определенного направления деятельности предприятия, внедрение методических рекомендаций и предложений в деятельность предприятия.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 xml:space="preserve">Отделы следствия и дознания, судебные органы, прокуратура, </w:t>
            </w:r>
            <w:r w:rsidRPr="00437099">
              <w:rPr>
                <w:sz w:val="22"/>
                <w:szCs w:val="22"/>
              </w:rPr>
              <w:lastRenderedPageBreak/>
              <w:t>адвокатские консультации, юридические отделы организаций и учреждений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both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Подготовка материалов для отчета. Оформление отчетной документации по прохождению практики. Подведение итогов прохождения практики. Сдача отчета на кафедру. Зачет.</w:t>
            </w:r>
          </w:p>
        </w:tc>
        <w:tc>
          <w:tcPr>
            <w:tcW w:w="742" w:type="pct"/>
            <w:vAlign w:val="center"/>
          </w:tcPr>
          <w:p w:rsidR="003E57AF" w:rsidRPr="00437099" w:rsidRDefault="003E57AF" w:rsidP="00842A10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4</w:t>
            </w:r>
          </w:p>
        </w:tc>
        <w:tc>
          <w:tcPr>
            <w:tcW w:w="1884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  <w:r w:rsidRPr="00B732D0">
              <w:rPr>
                <w:sz w:val="22"/>
                <w:szCs w:val="22"/>
              </w:rPr>
              <w:t xml:space="preserve">Кафедра </w:t>
            </w:r>
            <w:r w:rsidR="00B732D0" w:rsidRPr="00B732D0">
              <w:rPr>
                <w:sz w:val="22"/>
                <w:szCs w:val="22"/>
              </w:rPr>
              <w:t>Административного права и исполнительного производства</w:t>
            </w:r>
          </w:p>
        </w:tc>
      </w:tr>
      <w:tr w:rsidR="003E57AF" w:rsidRPr="00437099">
        <w:tc>
          <w:tcPr>
            <w:tcW w:w="519" w:type="pct"/>
            <w:vAlign w:val="center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55" w:type="pct"/>
          </w:tcPr>
          <w:p w:rsidR="003E57AF" w:rsidRPr="00437099" w:rsidRDefault="003E57AF" w:rsidP="00842A10">
            <w:pPr>
              <w:jc w:val="right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t>Итого:</w:t>
            </w:r>
          </w:p>
        </w:tc>
        <w:tc>
          <w:tcPr>
            <w:tcW w:w="742" w:type="pct"/>
          </w:tcPr>
          <w:p w:rsidR="003E57AF" w:rsidRPr="00437099" w:rsidRDefault="004F6C39" w:rsidP="00842A10">
            <w:pPr>
              <w:jc w:val="center"/>
              <w:rPr>
                <w:sz w:val="22"/>
                <w:szCs w:val="22"/>
              </w:rPr>
            </w:pPr>
            <w:r w:rsidRPr="00437099">
              <w:rPr>
                <w:sz w:val="22"/>
                <w:szCs w:val="22"/>
              </w:rPr>
              <w:fldChar w:fldCharType="begin"/>
            </w:r>
            <w:r w:rsidR="003E57AF" w:rsidRPr="00437099">
              <w:rPr>
                <w:sz w:val="22"/>
                <w:szCs w:val="22"/>
              </w:rPr>
              <w:instrText xml:space="preserve"> =SUM(ABOVE) </w:instrText>
            </w:r>
            <w:r w:rsidRPr="00437099">
              <w:rPr>
                <w:sz w:val="22"/>
                <w:szCs w:val="22"/>
              </w:rPr>
              <w:fldChar w:fldCharType="separate"/>
            </w:r>
            <w:r w:rsidR="003E57AF" w:rsidRPr="00437099">
              <w:rPr>
                <w:noProof/>
                <w:sz w:val="22"/>
                <w:szCs w:val="22"/>
              </w:rPr>
              <w:t>36</w:t>
            </w:r>
            <w:r w:rsidRPr="00437099">
              <w:rPr>
                <w:sz w:val="22"/>
                <w:szCs w:val="22"/>
              </w:rPr>
              <w:fldChar w:fldCharType="end"/>
            </w:r>
          </w:p>
        </w:tc>
        <w:tc>
          <w:tcPr>
            <w:tcW w:w="1884" w:type="pct"/>
          </w:tcPr>
          <w:p w:rsidR="003E57AF" w:rsidRPr="00437099" w:rsidRDefault="003E57AF" w:rsidP="00842A10">
            <w:pPr>
              <w:jc w:val="center"/>
              <w:rPr>
                <w:sz w:val="22"/>
                <w:szCs w:val="22"/>
              </w:rPr>
            </w:pPr>
          </w:p>
        </w:tc>
      </w:tr>
    </w:tbl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СОДЕРЖАНИЕ ПРАКТИКИ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Студенты проводят комплексную оценку организации и деятельности органов законодательной и исполнительной власти, органов местного самоуправления, судебных органов, прокуратуры, адвокатских консультаций, органов внутренних дел или юридических отделов организаций и учреждений: изучают правовую базу, структуру, функции подразделений и особенности взаимодействия между ними, виды нормативных и процессуальных документов. По результатам анализа специфики деятельности учреждения предлагают пути совершенствования и ликвидации пробелов в деятельности учреждения.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Данная практика проводится, как правило, на основе прямых договоров, заключаемых между предприятием и вузом, или в форме самостоятельного практикума - студент самостоятельно находит предприятие в качестве базы практики и информирует выпускающую кафедру о месте ее прохождения.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Студенты могут самостоятельно подобрать базу практики в соответствии с профилем или местом своей будущей работы, заключив договор с соответствующей организацией. Студенты, заключившие контракт с будущим работодателем, практику проходят в этой организации. Студенты заочного отделения, как правило, проходят практику на предприятиях (в организациях, учреждениях), где они работают.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МЕТОДИЧЕСКИЕ УКАЗАНИЯ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Студенты проходят практику под руководством преподавателя от кафедры, ответственного за организацию практики и работника структурного подразделения по месту прохождения практики.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Руководитель от института составляет график прохождения практики.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Практика проводится по рабочим программам, составленным на основании настоящей программы.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На рабочем месте студент получает от руководителя (сотрудника) предприятия (организации, учреждения) и преподавателя кафедры индивидуальное задание.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Описание выполнения задания заносится в отчет, срок предоставления которого указан в задании.</w:t>
      </w: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ТРЕБОВАНИЯ К ОТЧЕТУ</w:t>
      </w:r>
    </w:p>
    <w:p w:rsidR="003E57AF" w:rsidRPr="00437099" w:rsidRDefault="003E57AF" w:rsidP="00A510DC">
      <w:pPr>
        <w:jc w:val="center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Отчет должен содержать следующие разделы: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характеристика учреждения;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название учреждения, организационно-правовая форма, краткая история создания;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структура учреждения, характеристика подразделений учреждения;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особенности реализации функций подразделениями учреждения;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анализ порядка взаимодействия подразделений учреждения;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анализ правового обеспечения деятельности подразделений учреждения;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анализ оперативных и следственных или иных процессуальных мероприятий;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анализ правового статуса участников оперативных и следственных действий, судебного процесса или договорной и иной работы;</w:t>
      </w:r>
    </w:p>
    <w:p w:rsidR="003E57AF" w:rsidRPr="00437099" w:rsidRDefault="003E57AF" w:rsidP="00A510DC">
      <w:pPr>
        <w:numPr>
          <w:ilvl w:val="0"/>
          <w:numId w:val="2"/>
        </w:numPr>
        <w:tabs>
          <w:tab w:val="clear" w:pos="1440"/>
          <w:tab w:val="num" w:pos="567"/>
        </w:tabs>
        <w:ind w:left="567" w:hanging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lastRenderedPageBreak/>
        <w:t>выявление проблем деятельности учреждения, обусловивших выбор темы дипломного проекта.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МЕТОДИЧЕСКИЕ УКАЗАНИЯ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Текстовая часть отчета должна быть написана разборчиво и аккуратно на одной стороне листа без каких-либо сокращений в словах. Все схемы и таблицы в отчете необходимо пронумеровать отдельно. К текстовой части отчета необходимо приложить все первичные документы, которые практикант был обязан составить и заполнить во время практики. В приложениях к отчету должны быть ссылки в соответствующих местах текста отчета. 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СРОКИ И МЕТОДЫ КОНТРОЛЯ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Отчет сдается студентом лаборанту кафедры для регистрации в книге поступления отчетов, а затем передается руководителю практики от кафедры. После проверки отчета руководитель практики от кафедры назначает день его защиты. Защита отчетов производится на заседании комиссии, в которую, кроме руководителя практики от кафедры, входят один – два преподавателя. Оценка по преддипломной практике записывается в ведомость и зачетную книжку студента.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jc w:val="center"/>
        <w:rPr>
          <w:sz w:val="22"/>
          <w:szCs w:val="22"/>
        </w:rPr>
      </w:pPr>
      <w:r w:rsidRPr="00437099">
        <w:rPr>
          <w:sz w:val="22"/>
          <w:szCs w:val="22"/>
        </w:rPr>
        <w:t>ЛИТЕРАТУРА</w:t>
      </w:r>
    </w:p>
    <w:p w:rsidR="003E57AF" w:rsidRPr="00437099" w:rsidRDefault="003E57AF" w:rsidP="00A510DC">
      <w:pPr>
        <w:ind w:firstLine="567"/>
        <w:jc w:val="both"/>
        <w:rPr>
          <w:sz w:val="22"/>
          <w:szCs w:val="22"/>
        </w:rPr>
      </w:pP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Конституция РФ. – М.: НОРМА, 2006.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Кодекс об административных правонарушениях. – М.: Гросс </w:t>
      </w:r>
      <w:proofErr w:type="spellStart"/>
      <w:r w:rsidRPr="00437099">
        <w:rPr>
          <w:sz w:val="22"/>
          <w:szCs w:val="22"/>
        </w:rPr>
        <w:t>Медиа</w:t>
      </w:r>
      <w:proofErr w:type="spellEnd"/>
      <w:r w:rsidRPr="00437099">
        <w:rPr>
          <w:sz w:val="22"/>
          <w:szCs w:val="22"/>
        </w:rPr>
        <w:t>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Гражданский кодекс Российской Федерации, часть первая // Собрание законодательства РФ. - 1994. - № 32. - Ст. 3301.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Гражданский кодекс Российской федерации, часть вторая // Собрание законодательства РФ. – 1996. - № 5. - Ст. 410.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О государственной регистрации юридических лиц и индивидуальных предпринимателей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</w:t>
      </w:r>
      <w:proofErr w:type="spellStart"/>
      <w:r w:rsidRPr="00437099">
        <w:rPr>
          <w:sz w:val="22"/>
          <w:szCs w:val="22"/>
        </w:rPr>
        <w:t>фед</w:t>
      </w:r>
      <w:proofErr w:type="spellEnd"/>
      <w:r w:rsidRPr="00437099">
        <w:rPr>
          <w:sz w:val="22"/>
          <w:szCs w:val="22"/>
        </w:rPr>
        <w:t>. закон от 8 августа 2001 г. № 129-ФЗ // Собрание законодательства РФ.-  № 33. - Ст. 3431.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Агапов, А. Б. Административное право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А. Б. Агапов. – М.: Дашков и К,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Гончаров, А. А. Гражданское право. Общая и особенная части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А. А. Гончаров. – М.: КНОРУС,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proofErr w:type="spellStart"/>
      <w:r w:rsidRPr="00437099">
        <w:rPr>
          <w:sz w:val="22"/>
          <w:szCs w:val="22"/>
        </w:rPr>
        <w:t>Гусов</w:t>
      </w:r>
      <w:proofErr w:type="spellEnd"/>
      <w:r w:rsidRPr="00437099">
        <w:rPr>
          <w:sz w:val="22"/>
          <w:szCs w:val="22"/>
        </w:rPr>
        <w:t xml:space="preserve">, К. Н., </w:t>
      </w:r>
      <w:proofErr w:type="spellStart"/>
      <w:r w:rsidRPr="00437099">
        <w:rPr>
          <w:sz w:val="22"/>
          <w:szCs w:val="22"/>
        </w:rPr>
        <w:t>Толкунова</w:t>
      </w:r>
      <w:proofErr w:type="spellEnd"/>
      <w:r w:rsidRPr="00437099">
        <w:rPr>
          <w:sz w:val="22"/>
          <w:szCs w:val="22"/>
        </w:rPr>
        <w:t>, В. Н. Трудовое право России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К. Н. </w:t>
      </w:r>
      <w:proofErr w:type="spellStart"/>
      <w:r w:rsidRPr="00437099">
        <w:rPr>
          <w:sz w:val="22"/>
          <w:szCs w:val="22"/>
        </w:rPr>
        <w:t>Гусов</w:t>
      </w:r>
      <w:proofErr w:type="spellEnd"/>
      <w:r w:rsidRPr="00437099">
        <w:rPr>
          <w:sz w:val="22"/>
          <w:szCs w:val="22"/>
        </w:rPr>
        <w:t xml:space="preserve">, В.Н. </w:t>
      </w:r>
      <w:proofErr w:type="spellStart"/>
      <w:r w:rsidRPr="00437099">
        <w:rPr>
          <w:sz w:val="22"/>
          <w:szCs w:val="22"/>
        </w:rPr>
        <w:t>Толкунова</w:t>
      </w:r>
      <w:proofErr w:type="spellEnd"/>
      <w:r w:rsidRPr="00437099">
        <w:rPr>
          <w:sz w:val="22"/>
          <w:szCs w:val="22"/>
        </w:rPr>
        <w:t xml:space="preserve">.  – М.: ТК </w:t>
      </w:r>
      <w:proofErr w:type="spellStart"/>
      <w:r w:rsidRPr="00437099">
        <w:rPr>
          <w:sz w:val="22"/>
          <w:szCs w:val="22"/>
        </w:rPr>
        <w:t>Велби</w:t>
      </w:r>
      <w:proofErr w:type="spellEnd"/>
      <w:r w:rsidRPr="00437099">
        <w:rPr>
          <w:sz w:val="22"/>
          <w:szCs w:val="22"/>
        </w:rPr>
        <w:t>, Проспект,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proofErr w:type="spellStart"/>
      <w:r w:rsidRPr="00437099">
        <w:rPr>
          <w:sz w:val="22"/>
          <w:szCs w:val="22"/>
        </w:rPr>
        <w:t>Кутафин</w:t>
      </w:r>
      <w:proofErr w:type="spellEnd"/>
      <w:r w:rsidRPr="00437099">
        <w:rPr>
          <w:sz w:val="22"/>
          <w:szCs w:val="22"/>
        </w:rPr>
        <w:t>, О. Е. Муниципальное право РФ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О. Е. </w:t>
      </w:r>
      <w:proofErr w:type="spellStart"/>
      <w:r w:rsidRPr="00437099">
        <w:rPr>
          <w:sz w:val="22"/>
          <w:szCs w:val="22"/>
        </w:rPr>
        <w:t>Кутафин</w:t>
      </w:r>
      <w:proofErr w:type="spellEnd"/>
      <w:r w:rsidRPr="00437099">
        <w:rPr>
          <w:sz w:val="22"/>
          <w:szCs w:val="22"/>
        </w:rPr>
        <w:t>.  – М.: Юрист,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 xml:space="preserve">Муниципальное право России: учебник / ред. Г. Н. Чеботарев. – М.: </w:t>
      </w:r>
      <w:proofErr w:type="spellStart"/>
      <w:r w:rsidRPr="00437099">
        <w:rPr>
          <w:sz w:val="22"/>
          <w:szCs w:val="22"/>
        </w:rPr>
        <w:t>Юристъ</w:t>
      </w:r>
      <w:proofErr w:type="spellEnd"/>
      <w:r w:rsidRPr="00437099">
        <w:rPr>
          <w:sz w:val="22"/>
          <w:szCs w:val="22"/>
        </w:rPr>
        <w:t>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Четвериков, В. С. Административное право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В. С. Четвериков.  – М.: </w:t>
      </w:r>
      <w:proofErr w:type="spellStart"/>
      <w:r w:rsidRPr="00437099">
        <w:rPr>
          <w:sz w:val="22"/>
          <w:szCs w:val="22"/>
        </w:rPr>
        <w:t>Инфра-М</w:t>
      </w:r>
      <w:proofErr w:type="spellEnd"/>
      <w:r w:rsidRPr="00437099">
        <w:rPr>
          <w:sz w:val="22"/>
          <w:szCs w:val="22"/>
        </w:rPr>
        <w:t>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Административное право Российской Федерации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ред. А. Д. </w:t>
      </w:r>
      <w:proofErr w:type="spellStart"/>
      <w:r w:rsidRPr="00437099">
        <w:rPr>
          <w:sz w:val="22"/>
          <w:szCs w:val="22"/>
        </w:rPr>
        <w:t>Хаманов</w:t>
      </w:r>
      <w:proofErr w:type="spellEnd"/>
      <w:r w:rsidRPr="00437099">
        <w:rPr>
          <w:sz w:val="22"/>
          <w:szCs w:val="22"/>
        </w:rPr>
        <w:t xml:space="preserve">. – М.: </w:t>
      </w:r>
      <w:proofErr w:type="spellStart"/>
      <w:r w:rsidRPr="00437099">
        <w:rPr>
          <w:sz w:val="22"/>
          <w:szCs w:val="22"/>
        </w:rPr>
        <w:t>Юристъ</w:t>
      </w:r>
      <w:proofErr w:type="spellEnd"/>
      <w:r w:rsidRPr="00437099">
        <w:rPr>
          <w:sz w:val="22"/>
          <w:szCs w:val="22"/>
        </w:rPr>
        <w:t>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Административное право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под ред. Ю.М. Козловского, Л.Л. Попова.- М.: Юрист,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Анисимов, Л.Н. Трудовые отношения и материальная ответственность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Л. Н. Анисимов.  – М.: </w:t>
      </w:r>
      <w:proofErr w:type="spellStart"/>
      <w:r w:rsidRPr="00437099">
        <w:rPr>
          <w:sz w:val="22"/>
          <w:szCs w:val="22"/>
        </w:rPr>
        <w:t>Эксмо</w:t>
      </w:r>
      <w:proofErr w:type="spellEnd"/>
      <w:r w:rsidRPr="00437099">
        <w:rPr>
          <w:sz w:val="22"/>
          <w:szCs w:val="22"/>
        </w:rPr>
        <w:t>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proofErr w:type="spellStart"/>
      <w:r w:rsidRPr="00437099">
        <w:rPr>
          <w:sz w:val="22"/>
          <w:szCs w:val="22"/>
        </w:rPr>
        <w:t>Габричидзе</w:t>
      </w:r>
      <w:proofErr w:type="spellEnd"/>
      <w:r w:rsidRPr="00437099">
        <w:rPr>
          <w:sz w:val="22"/>
          <w:szCs w:val="22"/>
        </w:rPr>
        <w:t>, Б. Н. Служебное право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 / Б. Н. </w:t>
      </w:r>
      <w:proofErr w:type="spellStart"/>
      <w:r w:rsidRPr="00437099">
        <w:rPr>
          <w:sz w:val="22"/>
          <w:szCs w:val="22"/>
        </w:rPr>
        <w:t>Габричидзе</w:t>
      </w:r>
      <w:proofErr w:type="spellEnd"/>
      <w:r w:rsidRPr="00437099">
        <w:rPr>
          <w:sz w:val="22"/>
          <w:szCs w:val="22"/>
        </w:rPr>
        <w:t>.  – М.: Дашков и К,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Гражданский коде</w:t>
      </w:r>
      <w:proofErr w:type="gramStart"/>
      <w:r w:rsidRPr="00437099">
        <w:rPr>
          <w:sz w:val="22"/>
          <w:szCs w:val="22"/>
        </w:rPr>
        <w:t>кс в сх</w:t>
      </w:r>
      <w:proofErr w:type="gramEnd"/>
      <w:r w:rsidRPr="00437099">
        <w:rPr>
          <w:sz w:val="22"/>
          <w:szCs w:val="22"/>
        </w:rPr>
        <w:t>емах. – М.: Городец,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Комментарий к Гражданскому кодексу РФ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в 3 частях / ред. А. Ю. </w:t>
      </w:r>
      <w:proofErr w:type="spellStart"/>
      <w:r w:rsidRPr="00437099">
        <w:rPr>
          <w:sz w:val="22"/>
          <w:szCs w:val="22"/>
        </w:rPr>
        <w:t>Абова</w:t>
      </w:r>
      <w:proofErr w:type="spellEnd"/>
      <w:r w:rsidRPr="00437099">
        <w:rPr>
          <w:sz w:val="22"/>
          <w:szCs w:val="22"/>
        </w:rPr>
        <w:t xml:space="preserve">. – М.: </w:t>
      </w:r>
      <w:proofErr w:type="spellStart"/>
      <w:r w:rsidRPr="00437099">
        <w:rPr>
          <w:sz w:val="22"/>
          <w:szCs w:val="22"/>
        </w:rPr>
        <w:t>Юрайт</w:t>
      </w:r>
      <w:proofErr w:type="spellEnd"/>
      <w:r w:rsidRPr="00437099">
        <w:rPr>
          <w:sz w:val="22"/>
          <w:szCs w:val="22"/>
        </w:rPr>
        <w:t>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Комментарий к Трудовому кодексу Российской Федерации / под</w:t>
      </w:r>
      <w:proofErr w:type="gramStart"/>
      <w:r w:rsidRPr="00437099">
        <w:rPr>
          <w:sz w:val="22"/>
          <w:szCs w:val="22"/>
        </w:rPr>
        <w:t>.</w:t>
      </w:r>
      <w:proofErr w:type="gramEnd"/>
      <w:r w:rsidRPr="00437099">
        <w:rPr>
          <w:sz w:val="22"/>
          <w:szCs w:val="22"/>
        </w:rPr>
        <w:t xml:space="preserve"> </w:t>
      </w:r>
      <w:proofErr w:type="gramStart"/>
      <w:r w:rsidRPr="00437099">
        <w:rPr>
          <w:sz w:val="22"/>
          <w:szCs w:val="22"/>
        </w:rPr>
        <w:t>р</w:t>
      </w:r>
      <w:proofErr w:type="gramEnd"/>
      <w:r w:rsidRPr="00437099">
        <w:rPr>
          <w:sz w:val="22"/>
          <w:szCs w:val="22"/>
        </w:rPr>
        <w:t xml:space="preserve">ед. К.Н. </w:t>
      </w:r>
      <w:proofErr w:type="spellStart"/>
      <w:r w:rsidRPr="00437099">
        <w:rPr>
          <w:sz w:val="22"/>
          <w:szCs w:val="22"/>
        </w:rPr>
        <w:t>Гусова</w:t>
      </w:r>
      <w:proofErr w:type="spellEnd"/>
      <w:r w:rsidRPr="00437099">
        <w:rPr>
          <w:sz w:val="22"/>
          <w:szCs w:val="22"/>
        </w:rPr>
        <w:t xml:space="preserve"> - М.: Проспект,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proofErr w:type="gramStart"/>
      <w:r w:rsidRPr="00437099">
        <w:rPr>
          <w:sz w:val="22"/>
          <w:szCs w:val="22"/>
        </w:rPr>
        <w:t>Комментарий</w:t>
      </w:r>
      <w:proofErr w:type="gramEnd"/>
      <w:r w:rsidRPr="00437099">
        <w:rPr>
          <w:sz w:val="22"/>
          <w:szCs w:val="22"/>
        </w:rPr>
        <w:t xml:space="preserve"> официальных органов к Трудовому кодексу РФ / сост. А.В. </w:t>
      </w:r>
      <w:proofErr w:type="spellStart"/>
      <w:r w:rsidRPr="00437099">
        <w:rPr>
          <w:sz w:val="22"/>
          <w:szCs w:val="22"/>
        </w:rPr>
        <w:t>Верховцев</w:t>
      </w:r>
      <w:proofErr w:type="spellEnd"/>
      <w:r w:rsidRPr="00437099">
        <w:rPr>
          <w:sz w:val="22"/>
          <w:szCs w:val="22"/>
        </w:rPr>
        <w:t>. – М.: Инфра,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Конин, Н. М. Административное право России: общая и особенная части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учебное пособие / Н. М. Конин. – М.: </w:t>
      </w:r>
      <w:proofErr w:type="spellStart"/>
      <w:r w:rsidRPr="00437099">
        <w:rPr>
          <w:sz w:val="22"/>
          <w:szCs w:val="22"/>
        </w:rPr>
        <w:t>Юристъ</w:t>
      </w:r>
      <w:proofErr w:type="spellEnd"/>
      <w:r w:rsidRPr="00437099">
        <w:rPr>
          <w:sz w:val="22"/>
          <w:szCs w:val="22"/>
        </w:rPr>
        <w:t>, 2004.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Новые правила приема на работу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сост. М.Ю. Тихомиров. – М.: Изд-во М.Ю.Тихомирова, 2003.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Самсонов, И.С. Отпуска и больничные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И. С. Самсонов. – М.: Гросс </w:t>
      </w:r>
      <w:proofErr w:type="spellStart"/>
      <w:r w:rsidRPr="00437099">
        <w:rPr>
          <w:sz w:val="22"/>
          <w:szCs w:val="22"/>
        </w:rPr>
        <w:t>Медиа</w:t>
      </w:r>
      <w:proofErr w:type="spellEnd"/>
      <w:r w:rsidRPr="00437099">
        <w:rPr>
          <w:sz w:val="22"/>
          <w:szCs w:val="22"/>
        </w:rPr>
        <w:t>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lastRenderedPageBreak/>
        <w:t xml:space="preserve">Смоленский, Н. Б., </w:t>
      </w:r>
      <w:proofErr w:type="spellStart"/>
      <w:r w:rsidRPr="00437099">
        <w:rPr>
          <w:sz w:val="22"/>
          <w:szCs w:val="22"/>
        </w:rPr>
        <w:t>Мархгейм</w:t>
      </w:r>
      <w:proofErr w:type="spellEnd"/>
      <w:r w:rsidRPr="00437099">
        <w:rPr>
          <w:sz w:val="22"/>
          <w:szCs w:val="22"/>
        </w:rPr>
        <w:t>, Н. В. Конституционное право РФ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учебник / Н. Б. Смоленский, Н.В. </w:t>
      </w:r>
      <w:proofErr w:type="spellStart"/>
      <w:r w:rsidRPr="00437099">
        <w:rPr>
          <w:sz w:val="22"/>
          <w:szCs w:val="22"/>
        </w:rPr>
        <w:t>Мархгейм</w:t>
      </w:r>
      <w:proofErr w:type="spellEnd"/>
      <w:r w:rsidRPr="00437099">
        <w:rPr>
          <w:sz w:val="22"/>
          <w:szCs w:val="22"/>
        </w:rPr>
        <w:t>. – М.: ИКЦ «Март», 2003.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Трудовой договор: заключение, изменение, прекращение</w:t>
      </w:r>
      <w:proofErr w:type="gramStart"/>
      <w:r w:rsidRPr="00437099">
        <w:rPr>
          <w:sz w:val="22"/>
          <w:szCs w:val="22"/>
        </w:rPr>
        <w:t xml:space="preserve"> :</w:t>
      </w:r>
      <w:proofErr w:type="gramEnd"/>
      <w:r w:rsidRPr="00437099">
        <w:rPr>
          <w:sz w:val="22"/>
          <w:szCs w:val="22"/>
        </w:rPr>
        <w:t xml:space="preserve"> практическое пособие. – М.: НПЦ Профессионал-Ф, 2005.</w:t>
      </w:r>
    </w:p>
    <w:p w:rsidR="003E57AF" w:rsidRPr="00437099" w:rsidRDefault="003E57AF" w:rsidP="00A510DC">
      <w:pPr>
        <w:numPr>
          <w:ilvl w:val="0"/>
          <w:numId w:val="3"/>
        </w:numPr>
        <w:tabs>
          <w:tab w:val="clear" w:pos="2993"/>
          <w:tab w:val="num" w:pos="426"/>
        </w:tabs>
        <w:ind w:left="426" w:hanging="426"/>
        <w:jc w:val="both"/>
        <w:rPr>
          <w:sz w:val="22"/>
          <w:szCs w:val="22"/>
        </w:rPr>
      </w:pPr>
      <w:r w:rsidRPr="00437099">
        <w:rPr>
          <w:sz w:val="22"/>
          <w:szCs w:val="22"/>
        </w:rPr>
        <w:t>Юридические документы в гражданско-правовых отношениях / под ред. М. Ю. Тихомирова. – М.: Изд-во Тихомирова М. Ю., 2004.</w:t>
      </w:r>
    </w:p>
    <w:p w:rsidR="003E57AF" w:rsidRDefault="003E57AF"/>
    <w:sectPr w:rsidR="003E57AF" w:rsidSect="00D33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D0507"/>
    <w:multiLevelType w:val="hybridMultilevel"/>
    <w:tmpl w:val="05C469C4"/>
    <w:lvl w:ilvl="0" w:tplc="4EC660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A05224E"/>
    <w:multiLevelType w:val="hybridMultilevel"/>
    <w:tmpl w:val="A3884B30"/>
    <w:lvl w:ilvl="0" w:tplc="42587EFC">
      <w:start w:val="1"/>
      <w:numFmt w:val="decimal"/>
      <w:lvlText w:val="%1."/>
      <w:lvlJc w:val="left"/>
      <w:pPr>
        <w:tabs>
          <w:tab w:val="num" w:pos="2993"/>
        </w:tabs>
        <w:ind w:left="299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5E2173"/>
    <w:multiLevelType w:val="hybridMultilevel"/>
    <w:tmpl w:val="FB50D168"/>
    <w:lvl w:ilvl="0" w:tplc="4EC660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0DC"/>
    <w:rsid w:val="0018291A"/>
    <w:rsid w:val="003E57AF"/>
    <w:rsid w:val="00437099"/>
    <w:rsid w:val="004F6C39"/>
    <w:rsid w:val="0054168E"/>
    <w:rsid w:val="00557387"/>
    <w:rsid w:val="0078338B"/>
    <w:rsid w:val="00842A10"/>
    <w:rsid w:val="00A510DC"/>
    <w:rsid w:val="00B732D0"/>
    <w:rsid w:val="00C33840"/>
    <w:rsid w:val="00D33566"/>
    <w:rsid w:val="00FF5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0DC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 УМК"/>
    <w:basedOn w:val="a"/>
    <w:autoRedefine/>
    <w:uiPriority w:val="99"/>
    <w:rsid w:val="00A510DC"/>
    <w:pPr>
      <w:jc w:val="center"/>
    </w:pPr>
    <w:rPr>
      <w:b/>
      <w:bCs/>
      <w:cap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7711</Characters>
  <Application>Microsoft Office Word</Application>
  <DocSecurity>0</DocSecurity>
  <Lines>64</Lines>
  <Paragraphs>17</Paragraphs>
  <ScaleCrop>false</ScaleCrop>
  <Company>SPBGUSE</Company>
  <LinksUpToDate>false</LinksUpToDate>
  <CharactersWithSpaces>8825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Pishchalina</dc:creator>
  <cp:keywords/>
  <dc:description/>
  <cp:lastModifiedBy>Pishchalina</cp:lastModifiedBy>
  <cp:revision>4</cp:revision>
  <dcterms:created xsi:type="dcterms:W3CDTF">2012-12-05T09:44:00Z</dcterms:created>
  <dcterms:modified xsi:type="dcterms:W3CDTF">2012-12-11T10:40:00Z</dcterms:modified>
</cp:coreProperties>
</file>