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71FD">
      <w:pPr>
        <w:pStyle w:val="1"/>
      </w:pPr>
      <w:hyperlink r:id="rId4" w:history="1">
        <w:r>
          <w:rPr>
            <w:rStyle w:val="a4"/>
          </w:rPr>
          <w:t>Постановление Главного государственного санитарного врач</w:t>
        </w:r>
        <w:r>
          <w:rPr>
            <w:rStyle w:val="a4"/>
          </w:rPr>
          <w:t>а РФ от 27 марта 2007 г. N 13</w:t>
        </w:r>
        <w:r>
          <w:rPr>
            <w:rStyle w:val="a4"/>
          </w:rPr>
          <w:br/>
          <w:t>"Об утверждении санитарных правил СП 1.1.2193-07"</w:t>
        </w:r>
      </w:hyperlink>
    </w:p>
    <w:p w:rsidR="00000000" w:rsidRDefault="003671FD">
      <w:pPr>
        <w:ind w:firstLine="720"/>
        <w:jc w:val="both"/>
      </w:pPr>
    </w:p>
    <w:p w:rsidR="00000000" w:rsidRDefault="003671FD">
      <w:pPr>
        <w:ind w:firstLine="720"/>
        <w:jc w:val="both"/>
      </w:pPr>
      <w:r>
        <w:t xml:space="preserve">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от 30.03.1999 N 52-ФЗ "О санит</w:t>
      </w:r>
      <w:r>
        <w:t xml:space="preserve">арно-эпидемиологическом благополучии населения" (Собрание законодательства Российской Федерации, 1999, N 14, ст. 1650; 2002, N 1 (ч. I), ст. 1; 2003, N 2, ст. 167; N 27 (ч. I), ст. 2700; 2004, N 35, ст. 3607; 2005, N 19, ст. 1752; 2006, N 1, ст. 10) и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</w:t>
      </w:r>
      <w:r>
        <w:t>еском нормировании" (Собрание законодательства Российской Федерации, 2000, N 31, ст. 3295, 2005, N 39, ст. 3953) постановляю:</w:t>
      </w:r>
    </w:p>
    <w:p w:rsidR="00000000" w:rsidRDefault="003671FD">
      <w:pPr>
        <w:ind w:firstLine="720"/>
        <w:jc w:val="both"/>
      </w:pPr>
      <w:bookmarkStart w:id="0" w:name="sub_1"/>
      <w:r>
        <w:t xml:space="preserve">1. Утвердить санитарные правила СП 1.1.2193-07 (изменения и дополнения N 1 к </w:t>
      </w:r>
      <w:hyperlink r:id="rId7" w:history="1">
        <w:r>
          <w:rPr>
            <w:rStyle w:val="a4"/>
          </w:rPr>
          <w:t>санитарным п</w:t>
        </w:r>
        <w:r>
          <w:rPr>
            <w:rStyle w:val="a4"/>
          </w:rPr>
          <w:t>равилам</w:t>
        </w:r>
      </w:hyperlink>
      <w:r>
        <w:t xml:space="preserve">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</w:t>
      </w:r>
      <w:hyperlink w:anchor="sub_1111" w:history="1">
        <w:r>
          <w:rPr>
            <w:rStyle w:val="a4"/>
          </w:rPr>
          <w:t>*</w:t>
        </w:r>
      </w:hyperlink>
      <w:r>
        <w:t>") (</w:t>
      </w:r>
      <w:hyperlink w:anchor="sub_1000" w:history="1">
        <w:r>
          <w:rPr>
            <w:rStyle w:val="a4"/>
          </w:rPr>
          <w:t>приложение</w:t>
        </w:r>
      </w:hyperlink>
      <w:r>
        <w:t>)</w:t>
      </w:r>
      <w:r>
        <w:t>.</w:t>
      </w:r>
    </w:p>
    <w:p w:rsidR="00000000" w:rsidRDefault="003671FD">
      <w:pPr>
        <w:ind w:firstLine="720"/>
        <w:jc w:val="both"/>
      </w:pPr>
      <w:bookmarkStart w:id="1" w:name="sub_2"/>
      <w:bookmarkEnd w:id="0"/>
      <w:r>
        <w:t xml:space="preserve">2. Санитарные правила </w:t>
      </w:r>
      <w:hyperlink w:anchor="sub_1000" w:history="1">
        <w:r>
          <w:rPr>
            <w:rStyle w:val="a4"/>
          </w:rPr>
          <w:t>СП 1.1.2193-07</w:t>
        </w:r>
      </w:hyperlink>
      <w:r>
        <w:t xml:space="preserve"> ввести в действие с 1 июня 2007 г.</w:t>
      </w:r>
    </w:p>
    <w:bookmarkEnd w:id="1"/>
    <w:p w:rsidR="00000000" w:rsidRDefault="003671FD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671FD">
            <w:pPr>
              <w:pStyle w:val="aff3"/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671FD">
            <w:pPr>
              <w:pStyle w:val="aff3"/>
              <w:jc w:val="right"/>
            </w:pPr>
            <w:r>
              <w:t>Г.Г. Онищенко</w:t>
            </w:r>
          </w:p>
        </w:tc>
      </w:tr>
    </w:tbl>
    <w:p w:rsidR="00000000" w:rsidRDefault="003671FD">
      <w:pPr>
        <w:ind w:firstLine="720"/>
        <w:jc w:val="both"/>
      </w:pPr>
    </w:p>
    <w:p w:rsidR="00000000" w:rsidRDefault="003671FD">
      <w:pPr>
        <w:ind w:firstLine="720"/>
        <w:jc w:val="both"/>
      </w:pPr>
      <w:r>
        <w:t>_____________________________</w:t>
      </w:r>
    </w:p>
    <w:p w:rsidR="00000000" w:rsidRDefault="003671FD">
      <w:pPr>
        <w:ind w:firstLine="720"/>
        <w:jc w:val="both"/>
      </w:pPr>
      <w:bookmarkStart w:id="2" w:name="sub_1111"/>
      <w:r>
        <w:t>* Зарегистрированы в Министерстве юстиции Российской Федерации 30.10.2001, регистраци</w:t>
      </w:r>
      <w:r>
        <w:t>онный N 3000.</w:t>
      </w:r>
    </w:p>
    <w:bookmarkEnd w:id="2"/>
    <w:p w:rsidR="00000000" w:rsidRDefault="003671FD">
      <w:pPr>
        <w:ind w:firstLine="720"/>
        <w:jc w:val="both"/>
      </w:pPr>
    </w:p>
    <w:p w:rsidR="00000000" w:rsidRDefault="003671FD">
      <w:pPr>
        <w:pStyle w:val="affd"/>
      </w:pPr>
      <w:r>
        <w:t>Зарегистрировано в Минюсте РФ 26 апреля 2007 г.</w:t>
      </w:r>
    </w:p>
    <w:p w:rsidR="00000000" w:rsidRDefault="003671FD">
      <w:pPr>
        <w:pStyle w:val="affd"/>
      </w:pPr>
      <w:r>
        <w:t>Регистрационный N 9357</w:t>
      </w:r>
    </w:p>
    <w:p w:rsidR="00000000" w:rsidRDefault="003671FD">
      <w:pPr>
        <w:ind w:firstLine="720"/>
        <w:jc w:val="both"/>
      </w:pPr>
    </w:p>
    <w:p w:rsidR="00000000" w:rsidRDefault="003671FD">
      <w:pPr>
        <w:pStyle w:val="af7"/>
        <w:ind w:left="170"/>
        <w:rPr>
          <w:color w:val="000000"/>
          <w:sz w:val="16"/>
          <w:szCs w:val="16"/>
        </w:rPr>
      </w:pPr>
      <w:bookmarkStart w:id="3" w:name="sub_1000"/>
      <w:r>
        <w:rPr>
          <w:color w:val="000000"/>
          <w:sz w:val="16"/>
          <w:szCs w:val="16"/>
        </w:rPr>
        <w:t>ГАРАНТ:</w:t>
      </w:r>
    </w:p>
    <w:bookmarkEnd w:id="3"/>
    <w:p w:rsidR="00000000" w:rsidRDefault="003671FD">
      <w:pPr>
        <w:pStyle w:val="af7"/>
        <w:ind w:left="170"/>
      </w:pPr>
      <w:r>
        <w:t xml:space="preserve">Настоящие СП </w:t>
      </w:r>
      <w:hyperlink w:anchor="sub_2" w:history="1">
        <w:r>
          <w:rPr>
            <w:rStyle w:val="a4"/>
          </w:rPr>
          <w:t>вводятся в действие</w:t>
        </w:r>
      </w:hyperlink>
      <w:r>
        <w:t xml:space="preserve"> с 1 июня 2007 г.</w:t>
      </w:r>
    </w:p>
    <w:p w:rsidR="00000000" w:rsidRDefault="003671FD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3671FD">
      <w:pPr>
        <w:ind w:firstLine="720"/>
        <w:jc w:val="both"/>
      </w:pPr>
    </w:p>
    <w:p w:rsidR="00000000" w:rsidRDefault="003671FD">
      <w:pPr>
        <w:pStyle w:val="1"/>
      </w:pPr>
      <w:r>
        <w:t xml:space="preserve">1.1. Общие вопросы </w:t>
      </w:r>
    </w:p>
    <w:p w:rsidR="00000000" w:rsidRDefault="003671FD">
      <w:pPr>
        <w:ind w:firstLine="720"/>
        <w:jc w:val="both"/>
      </w:pPr>
    </w:p>
    <w:p w:rsidR="00000000" w:rsidRDefault="003671FD">
      <w:pPr>
        <w:pStyle w:val="1"/>
      </w:pPr>
      <w:r>
        <w:t>Санитарные правила</w:t>
      </w:r>
      <w:r>
        <w:br/>
      </w:r>
      <w:r>
        <w:t>СП 1.1.2193-07</w:t>
      </w:r>
      <w:r>
        <w:br/>
        <w:t>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мероприятий"</w:t>
      </w:r>
      <w:r>
        <w:br/>
        <w:t>Изменения и дополнения N 1 к СП 1.1.1058-01</w:t>
      </w:r>
      <w:r>
        <w:br/>
        <w:t xml:space="preserve">(утв. </w:t>
      </w:r>
      <w:hyperlink w:anchor="sub_0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Главного Государственного санитарного врача РФ от 27 марта 2007 г. N 13)</w:t>
      </w:r>
    </w:p>
    <w:p w:rsidR="00000000" w:rsidRDefault="003671FD">
      <w:pPr>
        <w:ind w:firstLine="720"/>
        <w:jc w:val="both"/>
      </w:pPr>
    </w:p>
    <w:p w:rsidR="00000000" w:rsidRDefault="003671FD">
      <w:pPr>
        <w:ind w:firstLine="720"/>
        <w:jc w:val="both"/>
      </w:pPr>
      <w:bookmarkStart w:id="4" w:name="sub_1001"/>
      <w:r>
        <w:t xml:space="preserve">1. В </w:t>
      </w:r>
      <w:hyperlink r:id="rId8" w:history="1">
        <w:r>
          <w:rPr>
            <w:rStyle w:val="a4"/>
          </w:rPr>
          <w:t>пункте 1.5</w:t>
        </w:r>
      </w:hyperlink>
      <w:r>
        <w:t>:</w:t>
      </w:r>
    </w:p>
    <w:bookmarkEnd w:id="4"/>
    <w:p w:rsidR="00000000" w:rsidRDefault="003671FD">
      <w:pPr>
        <w:ind w:firstLine="720"/>
        <w:jc w:val="both"/>
      </w:pPr>
      <w:r>
        <w:fldChar w:fldCharType="begin"/>
      </w:r>
      <w:r>
        <w:instrText>HYPERLINK "garantF1://12024738.1015"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5" w:name="sub_1015"/>
      <w:r>
        <w:t>"1.5. Юри</w:t>
      </w:r>
      <w:r>
        <w:t xml:space="preserve">дические лица и индивидуальные предприниматели в соответствии с осуществляемой ими деятельностью обязаны выполнять требования санитарного </w:t>
      </w:r>
      <w:r>
        <w:lastRenderedPageBreak/>
        <w:t>законодательства, а также постановлений, предписаний и санитарно-эпидемиологических заключений должностных лиц органов</w:t>
      </w:r>
      <w:r>
        <w:t>, уполномоченных осуществлять государственный санитарно-эпидемиологический надзор, в том числе: ".</w:t>
      </w:r>
    </w:p>
    <w:p w:rsidR="00000000" w:rsidRDefault="003671FD">
      <w:pPr>
        <w:ind w:firstLine="720"/>
        <w:jc w:val="both"/>
      </w:pPr>
      <w:bookmarkStart w:id="6" w:name="sub_1002"/>
      <w:bookmarkEnd w:id="5"/>
      <w:r>
        <w:t xml:space="preserve">2. В </w:t>
      </w:r>
      <w:hyperlink r:id="rId9" w:history="1">
        <w:r>
          <w:rPr>
            <w:rStyle w:val="a4"/>
          </w:rPr>
          <w:t>пункте 2.4</w:t>
        </w:r>
      </w:hyperlink>
      <w:r>
        <w:t>.:</w:t>
      </w:r>
    </w:p>
    <w:bookmarkEnd w:id="6"/>
    <w:p w:rsidR="00000000" w:rsidRDefault="003671FD">
      <w:pPr>
        <w:ind w:firstLine="720"/>
        <w:jc w:val="both"/>
      </w:pPr>
      <w:r>
        <w:fldChar w:fldCharType="begin"/>
      </w:r>
      <w:r>
        <w:instrText>HYPERLINK "garantF1://12024738.242"</w:instrText>
      </w:r>
      <w:r>
        <w:fldChar w:fldCharType="separate"/>
      </w:r>
      <w:r>
        <w:rPr>
          <w:rStyle w:val="a4"/>
        </w:rPr>
        <w:t>подпункт б)</w:t>
      </w:r>
      <w:r>
        <w:fldChar w:fldCharType="end"/>
      </w:r>
      <w:r>
        <w:t xml:space="preserve"> изложить в следующей редакци</w:t>
      </w:r>
      <w:r>
        <w:t>и:</w:t>
      </w:r>
    </w:p>
    <w:p w:rsidR="00000000" w:rsidRDefault="003671FD">
      <w:pPr>
        <w:ind w:firstLine="720"/>
        <w:jc w:val="both"/>
      </w:pPr>
      <w:bookmarkStart w:id="7" w:name="sub_242"/>
      <w:r>
        <w:t>"б) осуществление (организацию) лабораторных исследований и испытаний в случаях, установленных настоящими санитарными правилами и другими государственными санитарно-эпидемиологическими правилами и нормативами:</w:t>
      </w:r>
    </w:p>
    <w:bookmarkEnd w:id="7"/>
    <w:p w:rsidR="00000000" w:rsidRDefault="003671FD">
      <w:pPr>
        <w:ind w:firstLine="720"/>
        <w:jc w:val="both"/>
      </w:pPr>
      <w:r>
        <w:t>- на границе санитарно-защитн</w:t>
      </w:r>
      <w:r>
        <w:t>ой зоны и в зоне влияния предприятия, на территории (производственной площадке), на рабочих местах с целью оценки влияния производства на среду обитания человека и его здоровье;</w:t>
      </w:r>
    </w:p>
    <w:p w:rsidR="00000000" w:rsidRDefault="003671FD">
      <w:pPr>
        <w:ind w:firstLine="720"/>
        <w:jc w:val="both"/>
      </w:pPr>
      <w:r>
        <w:t>- сырья, полуфабрикатов, готовой продукции и технологий их производства, хране</w:t>
      </w:r>
      <w:r>
        <w:t>ния, транспортировки, реализации и утилизации;".</w:t>
      </w:r>
    </w:p>
    <w:p w:rsidR="00000000" w:rsidRDefault="003671FD">
      <w:pPr>
        <w:ind w:firstLine="720"/>
        <w:jc w:val="both"/>
      </w:pPr>
      <w:bookmarkStart w:id="8" w:name="sub_1003"/>
      <w:r>
        <w:t xml:space="preserve">3. В </w:t>
      </w:r>
      <w:hyperlink r:id="rId10" w:history="1">
        <w:r>
          <w:rPr>
            <w:rStyle w:val="a4"/>
          </w:rPr>
          <w:t>пункте 2.5</w:t>
        </w:r>
      </w:hyperlink>
      <w:r>
        <w:t>:</w:t>
      </w:r>
    </w:p>
    <w:bookmarkEnd w:id="8"/>
    <w:p w:rsidR="00000000" w:rsidRDefault="003671FD">
      <w:pPr>
        <w:ind w:firstLine="720"/>
        <w:jc w:val="both"/>
      </w:pPr>
      <w:r>
        <w:t xml:space="preserve">в </w:t>
      </w:r>
      <w:hyperlink r:id="rId11" w:history="1">
        <w:r>
          <w:rPr>
            <w:rStyle w:val="a4"/>
          </w:rPr>
          <w:t>первом предложении</w:t>
        </w:r>
      </w:hyperlink>
      <w:r>
        <w:t xml:space="preserve"> исключить слова: " ... и результатов лабораторных исследований и испытаний, вып</w:t>
      </w:r>
      <w:r>
        <w:t>олняемых центром государственного санитарно-эпидемиологического надзора в рамках осуществления государственного санитарно-эпидемиологического надзора.";</w:t>
      </w:r>
    </w:p>
    <w:p w:rsidR="00000000" w:rsidRDefault="003671FD">
      <w:pPr>
        <w:ind w:firstLine="720"/>
        <w:jc w:val="both"/>
      </w:pPr>
      <w:bookmarkStart w:id="9" w:name="sub_1004"/>
      <w:r>
        <w:t xml:space="preserve">4. В </w:t>
      </w:r>
      <w:hyperlink r:id="rId12" w:history="1">
        <w:r>
          <w:rPr>
            <w:rStyle w:val="a4"/>
          </w:rPr>
          <w:t>пункте 2.6</w:t>
        </w:r>
      </w:hyperlink>
      <w:r>
        <w:t>:</w:t>
      </w:r>
    </w:p>
    <w:p w:rsidR="00000000" w:rsidRDefault="003671FD">
      <w:pPr>
        <w:ind w:firstLine="720"/>
        <w:jc w:val="both"/>
      </w:pPr>
      <w:bookmarkStart w:id="10" w:name="sub_10041"/>
      <w:bookmarkEnd w:id="9"/>
      <w:r>
        <w:t xml:space="preserve">1) в </w:t>
      </w:r>
      <w:hyperlink r:id="rId13" w:history="1">
        <w:r>
          <w:rPr>
            <w:rStyle w:val="a4"/>
          </w:rPr>
          <w:t>абзаце первом</w:t>
        </w:r>
      </w:hyperlink>
      <w:r>
        <w:t xml:space="preserve"> в первом предложении после слов " ...не позднее трех месяцев со дня введения в действие настоящих санитарных правил" дополнить словами " ...без ограничения срока действия"; во втором предложении после слов " ...других су</w:t>
      </w:r>
      <w:r>
        <w:t>щественных изменениях деятельности юридического лица, индивидуального предпринимателя" дополнить словами "...влияющих на санитарно-эпидемиологическую обстановку и (либо) создающих угрозу санитарно-эпидемиологическому благополучию населения";</w:t>
      </w:r>
    </w:p>
    <w:p w:rsidR="00000000" w:rsidRDefault="003671FD">
      <w:pPr>
        <w:ind w:firstLine="720"/>
        <w:jc w:val="both"/>
      </w:pPr>
      <w:bookmarkStart w:id="11" w:name="sub_10042"/>
      <w:bookmarkEnd w:id="10"/>
      <w:r>
        <w:t xml:space="preserve">2) </w:t>
      </w:r>
      <w:hyperlink r:id="rId14" w:history="1">
        <w:r>
          <w:rPr>
            <w:rStyle w:val="a4"/>
          </w:rPr>
          <w:t>абзац второй</w:t>
        </w:r>
      </w:hyperlink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12" w:name="sub_20262"/>
      <w:bookmarkEnd w:id="11"/>
      <w:r>
        <w:t>"Разработанная программа (план) производственного контроля утверждается руководителем организации, индивидуальным предпринимателем либо уполномочен</w:t>
      </w:r>
      <w:r>
        <w:t>ными в установленном порядке лицами.".</w:t>
      </w:r>
    </w:p>
    <w:p w:rsidR="00000000" w:rsidRDefault="003671FD">
      <w:pPr>
        <w:ind w:firstLine="720"/>
        <w:jc w:val="both"/>
      </w:pPr>
      <w:bookmarkStart w:id="13" w:name="sub_1005"/>
      <w:bookmarkEnd w:id="12"/>
      <w:r>
        <w:t xml:space="preserve">5. </w:t>
      </w:r>
      <w:hyperlink r:id="rId15" w:history="1">
        <w:r>
          <w:rPr>
            <w:rStyle w:val="a4"/>
          </w:rPr>
          <w:t>Пункт 2.8</w:t>
        </w:r>
      </w:hyperlink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14" w:name="sub_28"/>
      <w:bookmarkEnd w:id="13"/>
      <w:r>
        <w:t>"2.8. Юридические лица и индивидуальные предприниматели представляют информацию о результатах производств</w:t>
      </w:r>
      <w:r>
        <w:t>енного контроля по запросам органов, уполномоченных осуществлять государственный санитарно-эпидемиологический надзор.".</w:t>
      </w:r>
    </w:p>
    <w:p w:rsidR="00000000" w:rsidRDefault="003671FD">
      <w:pPr>
        <w:ind w:firstLine="720"/>
        <w:jc w:val="both"/>
      </w:pPr>
      <w:bookmarkStart w:id="15" w:name="sub_1006"/>
      <w:bookmarkEnd w:id="14"/>
      <w:r>
        <w:t xml:space="preserve">6. В </w:t>
      </w:r>
      <w:hyperlink r:id="rId16" w:history="1">
        <w:r>
          <w:rPr>
            <w:rStyle w:val="a4"/>
          </w:rPr>
          <w:t>пункте 3.4</w:t>
        </w:r>
      </w:hyperlink>
      <w:r>
        <w:t>:</w:t>
      </w:r>
    </w:p>
    <w:bookmarkEnd w:id="15"/>
    <w:p w:rsidR="00000000" w:rsidRDefault="003671FD">
      <w:pPr>
        <w:ind w:firstLine="720"/>
        <w:jc w:val="both"/>
      </w:pPr>
      <w:r>
        <w:t>после слов "...профессиональной гигиенической подготовки;"</w:t>
      </w:r>
      <w:r>
        <w:t xml:space="preserve"> дополнить словами "...и аттестации;";</w:t>
      </w:r>
    </w:p>
    <w:p w:rsidR="00000000" w:rsidRDefault="003671FD">
      <w:pPr>
        <w:ind w:firstLine="720"/>
        <w:jc w:val="both"/>
      </w:pPr>
      <w:bookmarkStart w:id="16" w:name="sub_1007"/>
      <w:r>
        <w:t xml:space="preserve">7. </w:t>
      </w:r>
      <w:hyperlink r:id="rId17" w:history="1">
        <w:r>
          <w:rPr>
            <w:rStyle w:val="a4"/>
          </w:rPr>
          <w:t>Пункт 3.8</w:t>
        </w:r>
      </w:hyperlink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17" w:name="sub_1038"/>
      <w:bookmarkEnd w:id="16"/>
      <w:r>
        <w:t xml:space="preserve">"3.8. Перечень возможных аварийных ситуаций, связанных с остановкой производства, нарушениями технологических </w:t>
      </w:r>
      <w:r>
        <w:t>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</w:t>
      </w:r>
      <w:r>
        <w:t>но-эпидемиологический надзор;";</w:t>
      </w:r>
    </w:p>
    <w:p w:rsidR="00000000" w:rsidRDefault="003671FD">
      <w:pPr>
        <w:ind w:firstLine="720"/>
        <w:jc w:val="both"/>
      </w:pPr>
      <w:bookmarkStart w:id="18" w:name="sub_1008"/>
      <w:bookmarkEnd w:id="17"/>
      <w:r>
        <w:t xml:space="preserve">8. </w:t>
      </w:r>
      <w:hyperlink r:id="rId18" w:history="1">
        <w:r>
          <w:rPr>
            <w:rStyle w:val="a4"/>
          </w:rPr>
          <w:t>Пункт 4.1</w:t>
        </w:r>
      </w:hyperlink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19" w:name="sub_441"/>
      <w:bookmarkEnd w:id="18"/>
      <w:r>
        <w:t>" 4.1. Производственный контроль осуществляется с применением лабораторных исследований, испытаний на следующих</w:t>
      </w:r>
      <w:r>
        <w:t xml:space="preserve"> категориях объектов:</w:t>
      </w:r>
    </w:p>
    <w:p w:rsidR="00000000" w:rsidRDefault="003671FD">
      <w:pPr>
        <w:ind w:firstLine="720"/>
        <w:jc w:val="both"/>
      </w:pPr>
      <w:bookmarkStart w:id="20" w:name="sub_4411"/>
      <w:bookmarkEnd w:id="19"/>
      <w:r>
        <w:t xml:space="preserve">а) промышленные предприятия (объекты): рабочие места, производственные помещения, производственные площадки (территория), граница санитарно-защитной </w:t>
      </w:r>
      <w:r>
        <w:lastRenderedPageBreak/>
        <w:t xml:space="preserve">зоны, сырье для изготовления продукции, полуфабрикаты, новые виды </w:t>
      </w:r>
      <w:r>
        <w:t>продукции производственно-технического назначения, продукция пищевого назначения, новые технологические процессы (технологии производства, хранения, транспортирования, реализации и утилизации), отходы производства и потребления (сбор, использование, обезвр</w:t>
      </w:r>
      <w:r>
        <w:t>еживание, транспортировка, хранение, переработка и захоронение отходов).</w:t>
      </w:r>
    </w:p>
    <w:bookmarkEnd w:id="20"/>
    <w:p w:rsidR="00000000" w:rsidRDefault="003671FD">
      <w:pPr>
        <w:ind w:firstLine="720"/>
        <w:jc w:val="both"/>
      </w:pPr>
      <w:r>
        <w:t>Производственный контроль включает лабораторные исследования и испытания факторов производственной среды (физические факторы: температура, влажность, скорость движения воздуха</w:t>
      </w:r>
      <w:r>
        <w:t xml:space="preserve">, тепловое излучение; неионизирующие электромагнитные поля (ЭМП) и излучения - электростатическое поле; постоянное магнитное поле (в т.ч. гипогеомагнитное); электрические и магнитные поля промышленной частоты (50 Гц); широкополосные ЭМП, создаваемые ПЭВМ; </w:t>
      </w:r>
      <w:r>
        <w:t>электромагнитные излучения радиочастотного диапазона; широкополосные электромагнитные импульсы; электромагнитные излучения оптического диапазона (в т.ч. лазерное и ультрафиолетовое); ионизирующие излучения; производственный шум, ультразвук, инфразвук; вибр</w:t>
      </w:r>
      <w:r>
        <w:t>ация (локальная, общая); аэрозоли (пыли) преимущественно фиброгенного действия; освещение - естественное (отсутствие или недостаточность), искусственное (недостаточная освещенность, пульсация освещенности, избыточная яркость, высокая неравномерность распре</w:t>
      </w:r>
      <w:r>
        <w:t>деления яркости, прямая и отраженная слепящая блесткость); электрически заряженные частицы воздуха - аэроионы; аэрозоли преимущественно фиброгенного действия (АПФД); химические факторы: смеси, в т.ч. некоторые вещества биологической природы (антибиотики, в</w:t>
      </w:r>
      <w:r>
        <w:t>итамины, гормоны, ферменты, белковые препараты), получаемые химическим синтезом и/или для контроля которых используют методы химического анализа, вредные вещества с остронаправленным механизмом действия, вредные вещества 1 - 4 классов опасности; биологичес</w:t>
      </w:r>
      <w:r>
        <w:t>кий фактор).</w:t>
      </w:r>
    </w:p>
    <w:p w:rsidR="00000000" w:rsidRDefault="003671FD">
      <w:pPr>
        <w:ind w:firstLine="720"/>
        <w:jc w:val="both"/>
      </w:pPr>
      <w:r>
        <w:t>Периодичность производственного лабораторного контроля вредных факторов производственной среды может быть сокращена, но не более чем в два раза по сравнению с нормируемыми показателями на промышленных предприятиях (промышленных объектах) в слу</w:t>
      </w:r>
      <w:r>
        <w:t>чаях, если на них не отмечается в течение ряда лет, но не менее 5 лет, превышений ПДК и ПДУ по результатам лабораторных исследований и измерений, проведенных лабораториями, аккредитованными на техническую компетентность и независимость, и установления поло</w:t>
      </w:r>
      <w:r>
        <w:t>жительной динамики их санитарно-гигиенического состояния (проведение эффективных санитарно-оздоровительных мероприятий, подтверждаемых результатами исследований и измерений факторов производственной среды, отсутствия регистрации профессиональных заболевани</w:t>
      </w:r>
      <w:r>
        <w:t>й, массовых неинфекционных заболеваний и высокого уровня заболеваемости с временной утратой трудоспособности, кроме производственного контроля вредных веществ с остронаправленным механизмом действия, вредных веществ 1 - 4 классов опасности и случаев измене</w:t>
      </w:r>
      <w:r>
        <w:t>ния технологии производства).</w:t>
      </w:r>
    </w:p>
    <w:p w:rsidR="00000000" w:rsidRDefault="003671FD">
      <w:pPr>
        <w:ind w:firstLine="720"/>
        <w:jc w:val="both"/>
      </w:pPr>
      <w:bookmarkStart w:id="21" w:name="sub_4412"/>
      <w:r>
        <w:t>б) водные объекты, используемые в целях питьевого и хозяйственно-бытового водоснабжения и рекреационных целей, расположенные в черте городских и сельских поселений.</w:t>
      </w:r>
    </w:p>
    <w:bookmarkEnd w:id="21"/>
    <w:p w:rsidR="00000000" w:rsidRDefault="003671FD">
      <w:pPr>
        <w:ind w:firstLine="720"/>
        <w:jc w:val="both"/>
      </w:pPr>
      <w:r>
        <w:t>Лабораторный контроль осуществляется за соотв</w:t>
      </w:r>
      <w:r>
        <w:t>етствием питьевой воды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использования;</w:t>
      </w:r>
    </w:p>
    <w:p w:rsidR="00000000" w:rsidRDefault="003671FD">
      <w:pPr>
        <w:ind w:firstLine="720"/>
        <w:jc w:val="both"/>
      </w:pPr>
      <w:r>
        <w:t>При осуществлении деятельности, связанной с выпуском всех видов производстве</w:t>
      </w:r>
      <w:r>
        <w:t xml:space="preserve">нных, хозяйственно-бытовых и поверхностных сточных вод с территорий населенных мест, производственных и иных объектов, следует предусматривать </w:t>
      </w:r>
      <w:r>
        <w:lastRenderedPageBreak/>
        <w:t>лабораторный контроль за работой очистных сооружений, составом сбрасываемых сточных вод;</w:t>
      </w:r>
    </w:p>
    <w:p w:rsidR="00000000" w:rsidRDefault="003671FD">
      <w:pPr>
        <w:ind w:firstLine="720"/>
        <w:jc w:val="both"/>
      </w:pPr>
      <w:bookmarkStart w:id="22" w:name="sub_4413"/>
      <w:r>
        <w:t>в) объекты водос</w:t>
      </w:r>
      <w:r>
        <w:t>набжения (эксплуатация централизованных, нецентрализованных, домовых распределительных, автономных систем питьевого водоснабжения населения, системы питьевого водоснабжения на транспортных средствах);</w:t>
      </w:r>
    </w:p>
    <w:p w:rsidR="00000000" w:rsidRDefault="003671FD">
      <w:pPr>
        <w:ind w:firstLine="720"/>
        <w:jc w:val="both"/>
      </w:pPr>
      <w:bookmarkStart w:id="23" w:name="sub_4414"/>
      <w:bookmarkEnd w:id="22"/>
      <w:r>
        <w:t>г) общественные здания и сооружения: ле</w:t>
      </w:r>
      <w:r>
        <w:t>чебно-профилактические, стоматологические, клиники, кабинеты и иные здания и сооружения, в которых осуществляется фармацевтическая и/или медицинская деятельность.</w:t>
      </w:r>
    </w:p>
    <w:bookmarkEnd w:id="23"/>
    <w:p w:rsidR="00000000" w:rsidRDefault="003671FD">
      <w:pPr>
        <w:ind w:firstLine="720"/>
        <w:jc w:val="both"/>
      </w:pPr>
      <w:r>
        <w:t>При осуществлении фармацевтической и медицинской деятельностью</w:t>
      </w:r>
      <w:hyperlink r:id="rId19" w:history="1">
        <w:r>
          <w:rPr>
            <w:rStyle w:val="a4"/>
          </w:rPr>
          <w:t>#</w:t>
        </w:r>
      </w:hyperlink>
      <w:r>
        <w:t xml:space="preserve"> с целью профилактики инфекционных заболеваний, в том числе внутрибольничных, следует предусматривать контроль за соблюдением санитарно-противоэпидемических требований, дезинфекционных и стерилизационных мероприятий;</w:t>
      </w:r>
    </w:p>
    <w:p w:rsidR="00000000" w:rsidRDefault="003671FD">
      <w:pPr>
        <w:ind w:firstLine="720"/>
        <w:jc w:val="both"/>
      </w:pPr>
      <w:bookmarkStart w:id="24" w:name="sub_4415"/>
      <w:r>
        <w:t>д) при производств</w:t>
      </w:r>
      <w:r>
        <w:t>е дезинфекционных, дезинсекционных и дератизационных средств, оказании дезинфекционных, дезинсекционных и дератизационных услуг, включая контроль за эффективностью изготавливаемых и применяемых препаратов, соблюдением требований при их использовании, хране</w:t>
      </w:r>
      <w:r>
        <w:t>нии, транспортировке,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мероприятий.".</w:t>
      </w:r>
    </w:p>
    <w:p w:rsidR="00000000" w:rsidRDefault="003671FD">
      <w:pPr>
        <w:ind w:firstLine="720"/>
        <w:jc w:val="both"/>
      </w:pPr>
      <w:bookmarkStart w:id="25" w:name="sub_1009"/>
      <w:bookmarkEnd w:id="24"/>
      <w:r>
        <w:t xml:space="preserve">9. В </w:t>
      </w:r>
      <w:hyperlink r:id="rId20" w:history="1">
        <w:r>
          <w:rPr>
            <w:rStyle w:val="a4"/>
          </w:rPr>
          <w:t>главе 5</w:t>
        </w:r>
      </w:hyperlink>
      <w:r>
        <w:t xml:space="preserve"> </w:t>
      </w:r>
      <w:r>
        <w:t xml:space="preserve">в </w:t>
      </w:r>
      <w:hyperlink r:id="rId21" w:history="1">
        <w:r>
          <w:rPr>
            <w:rStyle w:val="a4"/>
          </w:rPr>
          <w:t>абзаце четвертом</w:t>
        </w:r>
      </w:hyperlink>
      <w:r>
        <w:t xml:space="preserve"> слова " ...территориальный центр государственного санитарно-эпидемиологического надзора..." заменить словами "...орган, уполномоченный на осуществление государственного санитарно-эпидемиологического </w:t>
      </w:r>
      <w:r>
        <w:t>надзора...".</w:t>
      </w:r>
    </w:p>
    <w:p w:rsidR="00000000" w:rsidRDefault="003671FD">
      <w:pPr>
        <w:ind w:firstLine="720"/>
        <w:jc w:val="both"/>
      </w:pPr>
      <w:bookmarkStart w:id="26" w:name="sub_1010"/>
      <w:bookmarkEnd w:id="25"/>
      <w:r>
        <w:t xml:space="preserve">10. В </w:t>
      </w:r>
      <w:hyperlink r:id="rId22" w:history="1">
        <w:r>
          <w:rPr>
            <w:rStyle w:val="a4"/>
          </w:rPr>
          <w:t>пункте 6.1</w:t>
        </w:r>
      </w:hyperlink>
      <w:r>
        <w:t xml:space="preserve"> слова " ...органами и учреждениями государственной санитарно-эпидемиологической службы Российской Федерации." заменить словами " ...уполномоченными органами.".</w:t>
      </w:r>
    </w:p>
    <w:p w:rsidR="00000000" w:rsidRDefault="003671FD">
      <w:pPr>
        <w:ind w:firstLine="720"/>
        <w:jc w:val="both"/>
      </w:pPr>
      <w:bookmarkStart w:id="27" w:name="sub_1011"/>
      <w:bookmarkEnd w:id="26"/>
      <w:r>
        <w:t xml:space="preserve">11. </w:t>
      </w:r>
      <w:hyperlink r:id="rId23" w:history="1">
        <w:r>
          <w:rPr>
            <w:rStyle w:val="a4"/>
          </w:rPr>
          <w:t>Пункт 6.2</w:t>
        </w:r>
      </w:hyperlink>
      <w:r>
        <w:t xml:space="preserve"> изложить в следующей редакции:</w:t>
      </w:r>
    </w:p>
    <w:p w:rsidR="00000000" w:rsidRDefault="003671FD">
      <w:pPr>
        <w:ind w:firstLine="720"/>
        <w:jc w:val="both"/>
      </w:pPr>
      <w:bookmarkStart w:id="28" w:name="sub_662"/>
      <w:bookmarkEnd w:id="27"/>
      <w:r>
        <w:t>"6.2. Органы, уполномоченные осуществлять государственный санитарно-эпидемиологический надзор, без взимания платы с юридических и физических лиц по их обр</w:t>
      </w:r>
      <w:r>
        <w:t>ащениям обязаны предоставить информацию о государственных санитарно-эпидемиологических правилах, гигиенических нормативах, методах и методиках контроля факторов среды обитания человека, которые должны быть в наличии на объекте, и о перечне химических вещес</w:t>
      </w:r>
      <w:r>
        <w:t>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 отбора проб и пров</w:t>
      </w:r>
      <w:r>
        <w:t>едения лабораторных исследований и испытаний.".</w:t>
      </w:r>
    </w:p>
    <w:bookmarkEnd w:id="28"/>
    <w:p w:rsidR="003671FD" w:rsidRDefault="003671FD">
      <w:pPr>
        <w:ind w:firstLine="720"/>
        <w:jc w:val="both"/>
      </w:pPr>
    </w:p>
    <w:sectPr w:rsidR="003671F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1585E"/>
    <w:rsid w:val="003671FD"/>
    <w:rsid w:val="0041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738.1015" TargetMode="External"/><Relationship Id="rId13" Type="http://schemas.openxmlformats.org/officeDocument/2006/relationships/hyperlink" Target="garantF1://12024738.2026" TargetMode="External"/><Relationship Id="rId18" Type="http://schemas.openxmlformats.org/officeDocument/2006/relationships/hyperlink" Target="garantF1://12024738.4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4738.514" TargetMode="External"/><Relationship Id="rId7" Type="http://schemas.openxmlformats.org/officeDocument/2006/relationships/hyperlink" Target="garantF1://12024738.1000" TargetMode="External"/><Relationship Id="rId12" Type="http://schemas.openxmlformats.org/officeDocument/2006/relationships/hyperlink" Target="garantF1://12024738.2026" TargetMode="External"/><Relationship Id="rId17" Type="http://schemas.openxmlformats.org/officeDocument/2006/relationships/hyperlink" Target="garantF1://12024738.1038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24738.1034" TargetMode="External"/><Relationship Id="rId20" Type="http://schemas.openxmlformats.org/officeDocument/2006/relationships/hyperlink" Target="garantF1://12024738.5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20314.0" TargetMode="External"/><Relationship Id="rId11" Type="http://schemas.openxmlformats.org/officeDocument/2006/relationships/hyperlink" Target="garantF1://12024738.25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15118.0" TargetMode="External"/><Relationship Id="rId15" Type="http://schemas.openxmlformats.org/officeDocument/2006/relationships/hyperlink" Target="garantF1://12024738.28" TargetMode="External"/><Relationship Id="rId23" Type="http://schemas.openxmlformats.org/officeDocument/2006/relationships/hyperlink" Target="garantF1://12024738.662" TargetMode="External"/><Relationship Id="rId10" Type="http://schemas.openxmlformats.org/officeDocument/2006/relationships/hyperlink" Target="garantF1://12024738.25" TargetMode="External"/><Relationship Id="rId19" Type="http://schemas.openxmlformats.org/officeDocument/2006/relationships/hyperlink" Target="garantF1://3000000.0" TargetMode="External"/><Relationship Id="rId4" Type="http://schemas.openxmlformats.org/officeDocument/2006/relationships/hyperlink" Target="garantF1://12053256.0" TargetMode="External"/><Relationship Id="rId9" Type="http://schemas.openxmlformats.org/officeDocument/2006/relationships/hyperlink" Target="garantF1://12024738.24" TargetMode="External"/><Relationship Id="rId14" Type="http://schemas.openxmlformats.org/officeDocument/2006/relationships/hyperlink" Target="garantF1://12024738.20262" TargetMode="External"/><Relationship Id="rId22" Type="http://schemas.openxmlformats.org/officeDocument/2006/relationships/hyperlink" Target="garantF1://12024738.6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1780</Words>
  <Characters>10147</Characters>
  <Application>Microsoft Office Word</Application>
  <DocSecurity>0</DocSecurity>
  <Lines>84</Lines>
  <Paragraphs>23</Paragraphs>
  <ScaleCrop>false</ScaleCrop>
  <Company>НПП "Гарант-Сервис"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2012-07-16T08:51:00Z</dcterms:created>
  <dcterms:modified xsi:type="dcterms:W3CDTF">2012-07-16T08:51:00Z</dcterms:modified>
</cp:coreProperties>
</file>